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5D03E" w14:textId="77777777" w:rsidR="00F7047A" w:rsidRPr="00F7047A" w:rsidRDefault="00F7047A" w:rsidP="00F7047A">
      <w:pPr>
        <w:keepNext/>
        <w:keepLines/>
        <w:spacing w:before="240" w:after="0"/>
        <w:outlineLvl w:val="0"/>
        <w:rPr>
          <w:rFonts w:asciiTheme="majorHAnsi" w:eastAsiaTheme="majorEastAsia" w:hAnsiTheme="majorHAnsi" w:cstheme="majorBidi"/>
          <w:color w:val="2F5496" w:themeColor="accent1" w:themeShade="BF"/>
          <w:sz w:val="32"/>
          <w:szCs w:val="32"/>
        </w:rPr>
      </w:pPr>
      <w:bookmarkStart w:id="0" w:name="_Toc53774415"/>
      <w:r w:rsidRPr="00F7047A">
        <w:rPr>
          <w:rFonts w:asciiTheme="majorHAnsi" w:eastAsiaTheme="majorEastAsia" w:hAnsiTheme="majorHAnsi" w:cstheme="majorBidi"/>
          <w:color w:val="2F5496" w:themeColor="accent1" w:themeShade="BF"/>
          <w:sz w:val="32"/>
          <w:szCs w:val="32"/>
        </w:rPr>
        <w:t>Deelnamecriteria</w:t>
      </w:r>
      <w:bookmarkEnd w:id="0"/>
    </w:p>
    <w:p w14:paraId="3E928FA6" w14:textId="77777777" w:rsidR="00F7047A" w:rsidRPr="00F7047A" w:rsidRDefault="00F7047A" w:rsidP="00F7047A">
      <w:pPr>
        <w:keepNext/>
        <w:keepLines/>
        <w:spacing w:before="40" w:after="0"/>
        <w:outlineLvl w:val="1"/>
        <w:rPr>
          <w:rFonts w:asciiTheme="majorHAnsi" w:eastAsiaTheme="majorEastAsia" w:hAnsiTheme="majorHAnsi" w:cstheme="majorBidi"/>
          <w:color w:val="2F5496" w:themeColor="accent1" w:themeShade="BF"/>
          <w:sz w:val="26"/>
          <w:szCs w:val="26"/>
        </w:rPr>
      </w:pPr>
      <w:bookmarkStart w:id="1" w:name="_Toc53774416"/>
      <w:r w:rsidRPr="00F7047A">
        <w:rPr>
          <w:rFonts w:asciiTheme="majorHAnsi" w:eastAsiaTheme="majorEastAsia" w:hAnsiTheme="majorHAnsi" w:cstheme="majorBidi"/>
          <w:color w:val="2F5496" w:themeColor="accent1" w:themeShade="BF"/>
          <w:sz w:val="26"/>
          <w:szCs w:val="26"/>
        </w:rPr>
        <w:t>1. Toeristische bedrijfstyperingen</w:t>
      </w:r>
      <w:bookmarkEnd w:id="1"/>
      <w:r w:rsidRPr="00F7047A">
        <w:rPr>
          <w:rFonts w:asciiTheme="majorHAnsi" w:eastAsiaTheme="majorEastAsia" w:hAnsiTheme="majorHAnsi" w:cstheme="majorBidi"/>
          <w:color w:val="2F5496" w:themeColor="accent1" w:themeShade="BF"/>
          <w:sz w:val="26"/>
          <w:szCs w:val="26"/>
        </w:rPr>
        <w:t xml:space="preserve"> </w:t>
      </w:r>
    </w:p>
    <w:p w14:paraId="179DA4D4" w14:textId="77777777" w:rsidR="00F7047A" w:rsidRPr="00F7047A" w:rsidRDefault="00F7047A" w:rsidP="00F7047A">
      <w:pPr>
        <w:rPr>
          <w:rFonts w:ascii="Avenir Next LT Pro" w:hAnsi="Avenir Next LT Pro"/>
        </w:rPr>
      </w:pPr>
      <w:r w:rsidRPr="00F7047A">
        <w:rPr>
          <w:rFonts w:ascii="Avenir Next LT Pro" w:hAnsi="Avenir Next LT Pro"/>
        </w:rPr>
        <w:t>1. De ondernemer: de natuurlijke persoon of niet publiekrechtelijke rechtspersoon die voor eigen rekening en zonder structurele steun van de overheid een toeristische onderneming als bedoeld in artikel 1,1 uitoefent, exploiteert en die als zodanig staat ingeschreven in het Handelsregister van de Kamer van koophandel en deze als hoofdactiviteit uitoefent;</w:t>
      </w:r>
    </w:p>
    <w:p w14:paraId="15C92479" w14:textId="4FF678D5" w:rsidR="00F7047A" w:rsidRPr="00F7047A" w:rsidRDefault="00F7047A" w:rsidP="00F7047A">
      <w:pPr>
        <w:numPr>
          <w:ilvl w:val="1"/>
          <w:numId w:val="1"/>
        </w:numPr>
        <w:contextualSpacing/>
        <w:rPr>
          <w:rFonts w:ascii="Avenir Next LT Pro" w:hAnsi="Avenir Next LT Pro"/>
        </w:rPr>
      </w:pPr>
      <w:r w:rsidRPr="00F7047A">
        <w:rPr>
          <w:rFonts w:ascii="Avenir Next LT Pro" w:hAnsi="Avenir Next LT Pro"/>
        </w:rPr>
        <w:t>Doelgroep volgens SBI-codering</w:t>
      </w:r>
      <w:r w:rsidRPr="00F7047A">
        <w:rPr>
          <w:rFonts w:ascii="Avenir Next LT Pro" w:hAnsi="Avenir Next LT Pro"/>
        </w:rPr>
        <w:br/>
        <w:t>551 Hotels e.d., 5510 Hotels e.d., 55101 Hotel-restaurants, 55102 Hotels (geen hotel-restaurants), pensions en conferentieoorden</w:t>
      </w:r>
      <w:r w:rsidRPr="00F7047A">
        <w:rPr>
          <w:rFonts w:ascii="Avenir Next LT Pro" w:hAnsi="Avenir Next LT Pro"/>
        </w:rPr>
        <w:br/>
        <w:t>552 Verhuur van vakantiehuisjes en appartementen; jeugdherbergen en vakantiekampen</w:t>
      </w:r>
      <w:r w:rsidRPr="00F7047A">
        <w:rPr>
          <w:rFonts w:ascii="Avenir Next LT Pro" w:hAnsi="Avenir Next LT Pro"/>
        </w:rPr>
        <w:br/>
        <w:t>5520 Verhuur van vakantiehuisjes en appartementen; jeugdherbergen en vakantiekampen</w:t>
      </w:r>
      <w:r w:rsidRPr="00F7047A">
        <w:rPr>
          <w:rFonts w:ascii="Avenir Next LT Pro" w:hAnsi="Avenir Next LT Pro"/>
        </w:rPr>
        <w:br/>
        <w:t>55201 Verhuur van vakantiehuisjes en appartementen</w:t>
      </w:r>
      <w:r w:rsidRPr="00F7047A">
        <w:rPr>
          <w:rFonts w:ascii="Avenir Next LT Pro" w:hAnsi="Avenir Next LT Pro"/>
        </w:rPr>
        <w:br/>
        <w:t>55202 Jeugdherbergen en vakantiekampen</w:t>
      </w:r>
      <w:r w:rsidRPr="00F7047A">
        <w:rPr>
          <w:rFonts w:ascii="Avenir Next LT Pro" w:hAnsi="Avenir Next LT Pro"/>
        </w:rPr>
        <w:br/>
        <w:t>553 Kampeerterreinen</w:t>
      </w:r>
      <w:r w:rsidRPr="00F7047A">
        <w:rPr>
          <w:rFonts w:ascii="Avenir Next LT Pro" w:hAnsi="Avenir Next LT Pro"/>
        </w:rPr>
        <w:br/>
        <w:t>5530 Kampeerterreinen</w:t>
      </w:r>
      <w:r w:rsidRPr="00F7047A">
        <w:rPr>
          <w:rFonts w:ascii="Avenir Next LT Pro" w:hAnsi="Avenir Next LT Pro"/>
        </w:rPr>
        <w:br/>
        <w:t>559 Overige logiesverstrekking</w:t>
      </w:r>
      <w:r w:rsidRPr="00F7047A">
        <w:rPr>
          <w:rFonts w:ascii="Avenir Next LT Pro" w:hAnsi="Avenir Next LT Pro"/>
        </w:rPr>
        <w:br/>
        <w:t>85511 Zeil- en surfscholen</w:t>
      </w:r>
      <w:r w:rsidRPr="00F7047A">
        <w:rPr>
          <w:rFonts w:ascii="Avenir Next LT Pro" w:hAnsi="Avenir Next LT Pro"/>
        </w:rPr>
        <w:br/>
        <w:t>9312 Buitensport</w:t>
      </w:r>
      <w:r w:rsidR="00F86DF9">
        <w:rPr>
          <w:rFonts w:ascii="Avenir Next LT Pro" w:hAnsi="Avenir Next LT Pro"/>
        </w:rPr>
        <w:br/>
      </w:r>
      <w:r w:rsidR="00F86DF9" w:rsidRPr="00F86DF9">
        <w:rPr>
          <w:rFonts w:ascii="Avenir Next LT Pro" w:hAnsi="Avenir Next LT Pro"/>
        </w:rPr>
        <w:t>93.199 Buitenactiviteiten</w:t>
      </w:r>
      <w:r w:rsidR="00304006">
        <w:rPr>
          <w:rFonts w:ascii="Avenir Next LT Pro" w:hAnsi="Avenir Next LT Pro"/>
        </w:rPr>
        <w:br/>
      </w:r>
      <w:r w:rsidR="00304006" w:rsidRPr="00304006">
        <w:rPr>
          <w:rFonts w:ascii="Avenir Next LT Pro" w:hAnsi="Avenir Next LT Pro"/>
        </w:rPr>
        <w:t>93.29.9 Klimbos</w:t>
      </w:r>
      <w:r w:rsidRPr="00F7047A">
        <w:rPr>
          <w:rFonts w:ascii="Avenir Next LT Pro" w:hAnsi="Avenir Next LT Pro"/>
        </w:rPr>
        <w:br/>
        <w:t>93211 Pret- en themaparken</w:t>
      </w:r>
      <w:r w:rsidRPr="00F7047A">
        <w:rPr>
          <w:rFonts w:ascii="Avenir Next LT Pro" w:hAnsi="Avenir Next LT Pro"/>
        </w:rPr>
        <w:br/>
        <w:t>93291 Jachthavens</w:t>
      </w:r>
      <w:r w:rsidR="00304006">
        <w:rPr>
          <w:rFonts w:ascii="Avenir Next LT Pro" w:hAnsi="Avenir Next LT Pro"/>
        </w:rPr>
        <w:br/>
      </w:r>
    </w:p>
    <w:p w14:paraId="6088E60F" w14:textId="77777777" w:rsidR="00F7047A" w:rsidRPr="00F7047A" w:rsidRDefault="00F7047A" w:rsidP="00F7047A">
      <w:pPr>
        <w:keepNext/>
        <w:keepLines/>
        <w:spacing w:before="40" w:after="0"/>
        <w:outlineLvl w:val="1"/>
        <w:rPr>
          <w:rFonts w:asciiTheme="majorHAnsi" w:eastAsiaTheme="majorEastAsia" w:hAnsiTheme="majorHAnsi" w:cstheme="majorBidi"/>
          <w:color w:val="2F5496" w:themeColor="accent1" w:themeShade="BF"/>
          <w:sz w:val="26"/>
          <w:szCs w:val="26"/>
        </w:rPr>
      </w:pPr>
      <w:bookmarkStart w:id="2" w:name="_Toc53774417"/>
      <w:r w:rsidRPr="00F7047A">
        <w:rPr>
          <w:rFonts w:asciiTheme="majorHAnsi" w:eastAsiaTheme="majorEastAsia" w:hAnsiTheme="majorHAnsi" w:cstheme="majorBidi"/>
          <w:color w:val="2F5496" w:themeColor="accent1" w:themeShade="BF"/>
          <w:sz w:val="26"/>
          <w:szCs w:val="26"/>
        </w:rPr>
        <w:t>2. Weigeringsgronden subsidie</w:t>
      </w:r>
      <w:bookmarkEnd w:id="2"/>
      <w:r w:rsidRPr="00F7047A">
        <w:rPr>
          <w:rFonts w:asciiTheme="majorHAnsi" w:eastAsiaTheme="majorEastAsia" w:hAnsiTheme="majorHAnsi" w:cstheme="majorBidi"/>
          <w:color w:val="2F5496" w:themeColor="accent1" w:themeShade="BF"/>
          <w:sz w:val="26"/>
          <w:szCs w:val="26"/>
        </w:rPr>
        <w:t xml:space="preserve">  </w:t>
      </w:r>
    </w:p>
    <w:p w14:paraId="7EEEBED0" w14:textId="47B0F99D" w:rsidR="00F7047A" w:rsidRPr="00F7047A" w:rsidRDefault="00F7047A" w:rsidP="00F7047A">
      <w:pPr>
        <w:rPr>
          <w:rFonts w:ascii="Avenir Next LT Pro" w:hAnsi="Avenir Next LT Pro"/>
        </w:rPr>
      </w:pPr>
      <w:r w:rsidRPr="00F7047A">
        <w:rPr>
          <w:rFonts w:ascii="Avenir Next LT Pro" w:hAnsi="Avenir Next LT Pro"/>
        </w:rPr>
        <w:t xml:space="preserve">2.1. </w:t>
      </w:r>
      <w:r w:rsidR="00F86DF9">
        <w:rPr>
          <w:rFonts w:ascii="Avenir Next LT Pro" w:hAnsi="Avenir Next LT Pro"/>
        </w:rPr>
        <w:t>E</w:t>
      </w:r>
      <w:r w:rsidRPr="00F7047A">
        <w:rPr>
          <w:rFonts w:ascii="Avenir Next LT Pro" w:hAnsi="Avenir Next LT Pro"/>
        </w:rPr>
        <w:t>erder dan vier weken vóór de indiening van de aanvraag verplichtingen tot uitvoering van wezenlijke onderdelen van het project zijn aangegaan;</w:t>
      </w:r>
      <w:r w:rsidRPr="00F7047A">
        <w:rPr>
          <w:rFonts w:ascii="Avenir Next LT Pro" w:hAnsi="Avenir Next LT Pro"/>
        </w:rPr>
        <w:br/>
        <w:t xml:space="preserve">2.2 </w:t>
      </w:r>
      <w:r w:rsidR="00F86DF9">
        <w:rPr>
          <w:rFonts w:ascii="Avenir Next LT Pro" w:hAnsi="Avenir Next LT Pro"/>
        </w:rPr>
        <w:t>H</w:t>
      </w:r>
      <w:r w:rsidRPr="00F7047A">
        <w:rPr>
          <w:rFonts w:ascii="Avenir Next LT Pro" w:hAnsi="Avenir Next LT Pro"/>
        </w:rPr>
        <w:t>et project betrekking heeft op het stichten van een nieuwe onderneming of een vestiging daarvan;</w:t>
      </w:r>
      <w:r w:rsidRPr="00F7047A">
        <w:rPr>
          <w:rFonts w:ascii="Avenir Next LT Pro" w:hAnsi="Avenir Next LT Pro"/>
        </w:rPr>
        <w:br/>
        <w:t>2.3 Het bedrijf geen fysieke toeristische bedrijfslocatie</w:t>
      </w:r>
      <w:r w:rsidR="00F86DF9">
        <w:rPr>
          <w:rFonts w:ascii="Avenir Next LT Pro" w:hAnsi="Avenir Next LT Pro"/>
        </w:rPr>
        <w:t xml:space="preserve"> beheert</w:t>
      </w:r>
      <w:r w:rsidRPr="00F7047A">
        <w:rPr>
          <w:rFonts w:ascii="Avenir Next LT Pro" w:hAnsi="Avenir Next LT Pro"/>
        </w:rPr>
        <w:t xml:space="preserve">; </w:t>
      </w:r>
      <w:r w:rsidRPr="00F7047A">
        <w:rPr>
          <w:rFonts w:ascii="Avenir Next LT Pro" w:hAnsi="Avenir Next LT Pro"/>
        </w:rPr>
        <w:br/>
        <w:t>2.4 Het bedrijf structureel gesubsidieerd wordt met overheids</w:t>
      </w:r>
      <w:r w:rsidR="00304006">
        <w:rPr>
          <w:rFonts w:ascii="Avenir Next LT Pro" w:hAnsi="Avenir Next LT Pro"/>
        </w:rPr>
        <w:t>middelen/</w:t>
      </w:r>
      <w:r w:rsidRPr="00F7047A">
        <w:rPr>
          <w:rFonts w:ascii="Avenir Next LT Pro" w:hAnsi="Avenir Next LT Pro"/>
        </w:rPr>
        <w:t>gelden;</w:t>
      </w:r>
      <w:r w:rsidRPr="00F7047A">
        <w:rPr>
          <w:rFonts w:ascii="Avenir Next LT Pro" w:hAnsi="Avenir Next LT Pro"/>
        </w:rPr>
        <w:br/>
        <w:t xml:space="preserve">2.5 </w:t>
      </w:r>
      <w:r w:rsidR="00F86DF9">
        <w:rPr>
          <w:rFonts w:ascii="Avenir Next LT Pro" w:hAnsi="Avenir Next LT Pro"/>
        </w:rPr>
        <w:t>D</w:t>
      </w:r>
      <w:r w:rsidRPr="00F7047A">
        <w:rPr>
          <w:rFonts w:ascii="Avenir Next LT Pro" w:hAnsi="Avenir Next LT Pro"/>
        </w:rPr>
        <w:t xml:space="preserve">e verhouding tussen de toeristische en niet-toeristische omzet lager ligt dan </w:t>
      </w:r>
      <w:r w:rsidR="00304006">
        <w:rPr>
          <w:rFonts w:ascii="Avenir Next LT Pro" w:hAnsi="Avenir Next LT Pro"/>
        </w:rPr>
        <w:t>80</w:t>
      </w:r>
      <w:r w:rsidRPr="00F7047A">
        <w:rPr>
          <w:rFonts w:ascii="Avenir Next LT Pro" w:hAnsi="Avenir Next LT Pro"/>
        </w:rPr>
        <w:t>%.</w:t>
      </w:r>
      <w:r w:rsidRPr="00F7047A">
        <w:rPr>
          <w:rFonts w:ascii="Avenir Next LT Pro" w:hAnsi="Avenir Next LT Pro"/>
        </w:rPr>
        <w:br/>
        <w:t xml:space="preserve">2.6 </w:t>
      </w:r>
      <w:r w:rsidR="00F86DF9">
        <w:rPr>
          <w:rFonts w:ascii="Avenir Next LT Pro" w:hAnsi="Avenir Next LT Pro"/>
        </w:rPr>
        <w:t>T</w:t>
      </w:r>
      <w:r w:rsidRPr="00F7047A">
        <w:rPr>
          <w:rFonts w:ascii="Avenir Next LT Pro" w:hAnsi="Avenir Next LT Pro"/>
        </w:rPr>
        <w:t>egen het innovatieproject anderszins overwegende bezwaren bestaan.</w:t>
      </w:r>
      <w:r w:rsidR="00390D91">
        <w:rPr>
          <w:rFonts w:ascii="Avenir Next LT Pro" w:hAnsi="Avenir Next LT Pro"/>
        </w:rPr>
        <w:br/>
        <w:t xml:space="preserve">2.7 </w:t>
      </w:r>
      <w:r w:rsidR="00390D91" w:rsidRPr="00390D91">
        <w:rPr>
          <w:rFonts w:ascii="Avenir Next LT Pro" w:hAnsi="Avenir Next LT Pro"/>
        </w:rPr>
        <w:t>In alle gevallen waarin d</w:t>
      </w:r>
      <w:r w:rsidR="00390D91">
        <w:rPr>
          <w:rFonts w:ascii="Avenir Next LT Pro" w:hAnsi="Avenir Next LT Pro"/>
        </w:rPr>
        <w:t xml:space="preserve">eze weigeringsgronden </w:t>
      </w:r>
      <w:r w:rsidR="00390D91" w:rsidRPr="00390D91">
        <w:rPr>
          <w:rFonts w:ascii="Avenir Next LT Pro" w:hAnsi="Avenir Next LT Pro"/>
        </w:rPr>
        <w:t>niet voorzie</w:t>
      </w:r>
      <w:r w:rsidR="00390D91">
        <w:rPr>
          <w:rFonts w:ascii="Avenir Next LT Pro" w:hAnsi="Avenir Next LT Pro"/>
        </w:rPr>
        <w:t>n</w:t>
      </w:r>
      <w:r w:rsidR="00390D91" w:rsidRPr="00390D91">
        <w:rPr>
          <w:rFonts w:ascii="Avenir Next LT Pro" w:hAnsi="Avenir Next LT Pro"/>
        </w:rPr>
        <w:t xml:space="preserve"> beslist </w:t>
      </w:r>
      <w:r w:rsidR="00390D91">
        <w:rPr>
          <w:rFonts w:ascii="Avenir Next LT Pro" w:hAnsi="Avenir Next LT Pro"/>
        </w:rPr>
        <w:t>de TOTO-2 projectorganisatie.</w:t>
      </w:r>
    </w:p>
    <w:p w14:paraId="281B2AF3" w14:textId="77777777" w:rsidR="00F7047A" w:rsidRPr="00F7047A" w:rsidRDefault="00F7047A" w:rsidP="00F7047A">
      <w:pPr>
        <w:keepNext/>
        <w:keepLines/>
        <w:spacing w:before="40" w:after="0"/>
        <w:outlineLvl w:val="1"/>
        <w:rPr>
          <w:rFonts w:asciiTheme="majorHAnsi" w:eastAsiaTheme="majorEastAsia" w:hAnsiTheme="majorHAnsi" w:cstheme="majorBidi"/>
          <w:color w:val="2F5496" w:themeColor="accent1" w:themeShade="BF"/>
          <w:sz w:val="26"/>
          <w:szCs w:val="26"/>
        </w:rPr>
      </w:pPr>
      <w:bookmarkStart w:id="3" w:name="_Toc53774418"/>
      <w:r w:rsidRPr="00F7047A">
        <w:rPr>
          <w:rFonts w:asciiTheme="majorHAnsi" w:eastAsiaTheme="majorEastAsia" w:hAnsiTheme="majorHAnsi" w:cstheme="majorBidi"/>
          <w:color w:val="2F5496" w:themeColor="accent1" w:themeShade="BF"/>
          <w:sz w:val="26"/>
          <w:szCs w:val="26"/>
        </w:rPr>
        <w:t>3. Maximale subsidie</w:t>
      </w:r>
      <w:bookmarkEnd w:id="3"/>
    </w:p>
    <w:p w14:paraId="354B69A5" w14:textId="77777777" w:rsidR="00F7047A" w:rsidRPr="00F7047A" w:rsidRDefault="00F7047A" w:rsidP="00F7047A">
      <w:pPr>
        <w:rPr>
          <w:rFonts w:ascii="Avenir Next LT Pro" w:hAnsi="Avenir Next LT Pro"/>
        </w:rPr>
      </w:pPr>
      <w:r w:rsidRPr="00F7047A">
        <w:rPr>
          <w:rFonts w:ascii="Avenir Next LT Pro" w:hAnsi="Avenir Next LT Pro"/>
        </w:rPr>
        <w:t xml:space="preserve">3.1 De subsidie bedraagt 7.500 euro van de subsidiabele projectkosten die betrekking hebben op investeringen uit hoofde van een innovatieproject </w:t>
      </w:r>
      <w:r w:rsidRPr="00F7047A">
        <w:rPr>
          <w:rFonts w:ascii="Avenir Next LT Pro" w:hAnsi="Avenir Next LT Pro"/>
        </w:rPr>
        <w:br/>
        <w:t>3.2 Het maximale subsidiebedrag wordt lager vastgesteld, indien de normen van de Europese Unie daartoe nopen dan wel de administratieve verplichtingen niet correct zijn toegepast.</w:t>
      </w:r>
      <w:r w:rsidRPr="00F7047A">
        <w:rPr>
          <w:rFonts w:ascii="Avenir Next LT Pro" w:hAnsi="Avenir Next LT Pro"/>
        </w:rPr>
        <w:cr/>
      </w:r>
    </w:p>
    <w:p w14:paraId="5D937095" w14:textId="77777777" w:rsidR="00FC011F" w:rsidRDefault="00FC011F"/>
    <w:sectPr w:rsidR="00FC0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C37D5"/>
    <w:multiLevelType w:val="multilevel"/>
    <w:tmpl w:val="69B6F1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7A"/>
    <w:rsid w:val="00304006"/>
    <w:rsid w:val="00390D91"/>
    <w:rsid w:val="00DB1E75"/>
    <w:rsid w:val="00F7047A"/>
    <w:rsid w:val="00F86DF9"/>
    <w:rsid w:val="00FC0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AB5D"/>
  <w15:chartTrackingRefBased/>
  <w15:docId w15:val="{E3774EC8-0EFB-443B-9A00-9D1C6205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Ybema</dc:creator>
  <cp:keywords/>
  <dc:description/>
  <cp:lastModifiedBy>Jan Ybema</cp:lastModifiedBy>
  <cp:revision>3</cp:revision>
  <dcterms:created xsi:type="dcterms:W3CDTF">2021-01-29T15:28:00Z</dcterms:created>
  <dcterms:modified xsi:type="dcterms:W3CDTF">2021-01-29T15:33:00Z</dcterms:modified>
</cp:coreProperties>
</file>